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21C3" w14:textId="77777777" w:rsidR="000F6CE1" w:rsidRPr="004B0695" w:rsidRDefault="000F6CE1" w:rsidP="009C2550">
      <w:pPr>
        <w:jc w:val="right"/>
        <w:rPr>
          <w:rFonts w:asciiTheme="minorHAnsi" w:hAnsiTheme="minorHAnsi"/>
          <w:szCs w:val="22"/>
        </w:rPr>
      </w:pPr>
    </w:p>
    <w:p w14:paraId="229F2FC0" w14:textId="77777777" w:rsidR="00A02069" w:rsidRPr="004B0695" w:rsidRDefault="009C2550" w:rsidP="009C2550">
      <w:pPr>
        <w:jc w:val="right"/>
        <w:rPr>
          <w:rFonts w:asciiTheme="minorHAnsi" w:hAnsiTheme="minorHAnsi"/>
          <w:szCs w:val="22"/>
        </w:rPr>
      </w:pPr>
      <w:r w:rsidRPr="004B0695"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50FE9BCF" wp14:editId="52AC3C33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A09B" w14:textId="77777777" w:rsidR="00A02069" w:rsidRPr="004B0695" w:rsidRDefault="00A02069" w:rsidP="0097729E">
      <w:pPr>
        <w:rPr>
          <w:rFonts w:asciiTheme="minorHAnsi" w:hAnsiTheme="minorHAnsi"/>
          <w:szCs w:val="22"/>
        </w:rPr>
      </w:pPr>
    </w:p>
    <w:p w14:paraId="69D93B90" w14:textId="77777777" w:rsidR="00A02069" w:rsidRPr="004B0695" w:rsidRDefault="00A02069" w:rsidP="0097729E">
      <w:pPr>
        <w:rPr>
          <w:rFonts w:asciiTheme="minorHAnsi" w:hAnsiTheme="minorHAnsi"/>
          <w:szCs w:val="22"/>
        </w:rPr>
      </w:pPr>
    </w:p>
    <w:p w14:paraId="4DCEFAAC" w14:textId="77777777" w:rsidR="002865AE" w:rsidRPr="004B0695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4B0695">
        <w:rPr>
          <w:rFonts w:asciiTheme="minorHAnsi" w:hAnsiTheme="minorHAnsi"/>
          <w:b/>
          <w:szCs w:val="22"/>
        </w:rPr>
        <w:t>JOB DESCRIPTION</w:t>
      </w:r>
    </w:p>
    <w:p w14:paraId="18737FE3" w14:textId="77777777" w:rsidR="000F6CE1" w:rsidRPr="004B0695" w:rsidRDefault="000F6CE1" w:rsidP="00857F0A">
      <w:pPr>
        <w:jc w:val="center"/>
        <w:rPr>
          <w:rFonts w:asciiTheme="minorHAnsi" w:hAnsiTheme="minorHAnsi"/>
          <w:b/>
          <w:szCs w:val="22"/>
        </w:rPr>
      </w:pPr>
    </w:p>
    <w:p w14:paraId="21FDF46B" w14:textId="77777777" w:rsidR="000F6CE1" w:rsidRPr="004B0695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4B0695">
        <w:rPr>
          <w:rFonts w:asciiTheme="minorHAnsi" w:hAnsiTheme="minorHAnsi"/>
          <w:b/>
          <w:szCs w:val="22"/>
        </w:rPr>
        <w:t>Vaca</w:t>
      </w:r>
      <w:r w:rsidR="00DF6A03" w:rsidRPr="004B0695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Fonts w:asciiTheme="minorHAnsi" w:hAnsiTheme="minorHAnsi"/>
            <w:b/>
            <w:szCs w:val="22"/>
          </w:rPr>
          <w:id w:val="158695602"/>
          <w:placeholder>
            <w:docPart w:val="19975E1471A341DAB54894905EB4BA98"/>
          </w:placeholder>
        </w:sdtPr>
        <w:sdtEndPr/>
        <w:sdtContent>
          <w:r w:rsidR="00AF238A" w:rsidRPr="004B0695">
            <w:rPr>
              <w:rFonts w:asciiTheme="minorHAnsi" w:hAnsiTheme="minorHAnsi"/>
              <w:b/>
              <w:szCs w:val="22"/>
            </w:rPr>
            <w:t>A***</w:t>
          </w:r>
        </w:sdtContent>
      </w:sdt>
    </w:p>
    <w:p w14:paraId="26967541" w14:textId="77777777" w:rsidR="00A02069" w:rsidRPr="004B0695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6"/>
        <w:gridCol w:w="3213"/>
      </w:tblGrid>
      <w:tr w:rsidR="00A02069" w:rsidRPr="004B0695" w14:paraId="3FE90DE9" w14:textId="77777777" w:rsidTr="000D364C">
        <w:tc>
          <w:tcPr>
            <w:tcW w:w="7308" w:type="dxa"/>
            <w:vAlign w:val="center"/>
          </w:tcPr>
          <w:p w14:paraId="751D03EB" w14:textId="4EC15BEC" w:rsidR="00A02069" w:rsidRPr="004B0695" w:rsidRDefault="00A02069" w:rsidP="00E35C00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Job Title: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0B092B">
                  <w:rPr>
                    <w:rFonts w:asciiTheme="minorHAnsi" w:hAnsiTheme="minorHAnsi"/>
                    <w:szCs w:val="22"/>
                  </w:rPr>
                  <w:t>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52C4F3F" w14:textId="0FAE72D1" w:rsidR="00A02069" w:rsidRPr="004B0695" w:rsidRDefault="00A02069" w:rsidP="00AF238A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Grade: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4276A4" w:rsidRPr="004276A4">
                  <w:rPr>
                    <w:rFonts w:asciiTheme="minorHAnsi" w:hAnsiTheme="minorHAnsi"/>
                    <w:szCs w:val="22"/>
                  </w:rPr>
                  <w:t>6</w:t>
                </w:r>
              </w:sdtContent>
            </w:sdt>
          </w:p>
        </w:tc>
      </w:tr>
      <w:tr w:rsidR="00A02069" w:rsidRPr="004B0695" w14:paraId="02484E2C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6AC77E61" w14:textId="76BCCB33" w:rsidR="00A02069" w:rsidRPr="004B0695" w:rsidRDefault="00A02069" w:rsidP="00D40209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1D20AB" w:rsidRPr="004B0695">
                  <w:rPr>
                    <w:rFonts w:asciiTheme="minorHAnsi" w:hAnsiTheme="minorHAnsi"/>
                    <w:szCs w:val="22"/>
                  </w:rPr>
                  <w:t>Division of Health Research (</w:t>
                </w:r>
                <w:r w:rsidR="00D40209" w:rsidRPr="004B0695">
                  <w:rPr>
                    <w:rFonts w:asciiTheme="minorHAnsi" w:hAnsiTheme="minorHAnsi" w:cs="Tahoma"/>
                    <w:szCs w:val="22"/>
                  </w:rPr>
                  <w:t>International Observatory on End of Life Care</w:t>
                </w:r>
                <w:r w:rsidR="001D20AB" w:rsidRPr="004B0695">
                  <w:rPr>
                    <w:rFonts w:asciiTheme="minorHAnsi" w:hAnsiTheme="minorHAnsi" w:cs="Tahoma"/>
                    <w:szCs w:val="22"/>
                  </w:rPr>
                  <w:t>)</w:t>
                </w:r>
              </w:sdtContent>
            </w:sdt>
          </w:p>
        </w:tc>
      </w:tr>
      <w:tr w:rsidR="00A02069" w:rsidRPr="004B0695" w14:paraId="2AE91133" w14:textId="77777777" w:rsidTr="000D364C">
        <w:tc>
          <w:tcPr>
            <w:tcW w:w="10548" w:type="dxa"/>
            <w:gridSpan w:val="2"/>
            <w:vAlign w:val="center"/>
          </w:tcPr>
          <w:p w14:paraId="2AEB9613" w14:textId="27CC6485" w:rsidR="00A02069" w:rsidRPr="004B0695" w:rsidRDefault="00A02069" w:rsidP="002B4235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="004F3D2B" w:rsidRPr="004B0695">
              <w:rPr>
                <w:rFonts w:asciiTheme="minorHAnsi" w:hAnsiTheme="minorHAnsi"/>
                <w:szCs w:val="22"/>
              </w:rPr>
              <w:t>Prof</w:t>
            </w:r>
            <w:r w:rsidR="00EC25C5" w:rsidRPr="004B0695">
              <w:rPr>
                <w:rFonts w:asciiTheme="minorHAnsi" w:hAnsiTheme="minorHAnsi"/>
                <w:szCs w:val="22"/>
              </w:rPr>
              <w:t xml:space="preserve">essor </w:t>
            </w:r>
            <w:r w:rsidR="002B4235">
              <w:rPr>
                <w:rFonts w:asciiTheme="minorHAnsi" w:hAnsiTheme="minorHAnsi" w:cs="Tahoma"/>
                <w:szCs w:val="22"/>
              </w:rPr>
              <w:t>Catherine Walshe</w:t>
            </w:r>
            <w:r w:rsidR="008F1BAF" w:rsidRPr="004B0695">
              <w:rPr>
                <w:rFonts w:asciiTheme="minorHAnsi" w:hAnsiTheme="minorHAnsi" w:cs="Tahoma"/>
                <w:szCs w:val="22"/>
              </w:rPr>
              <w:t xml:space="preserve"> </w:t>
            </w:r>
          </w:p>
        </w:tc>
      </w:tr>
      <w:tr w:rsidR="00A02069" w:rsidRPr="004B0695" w14:paraId="6D506C61" w14:textId="77777777" w:rsidTr="000D364C">
        <w:tc>
          <w:tcPr>
            <w:tcW w:w="10548" w:type="dxa"/>
            <w:gridSpan w:val="2"/>
            <w:vAlign w:val="center"/>
          </w:tcPr>
          <w:p w14:paraId="4A45A825" w14:textId="0F288301" w:rsidR="00A02069" w:rsidRPr="004B0695" w:rsidRDefault="00A02069" w:rsidP="00E35C00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9"/>
                <w:placeholder>
                  <w:docPart w:val="21D762B16ABB4A74B21105C9C5957627"/>
                </w:placeholder>
                <w:showingPlcHdr/>
              </w:sdtPr>
              <w:sdtEndPr/>
              <w:sdtContent>
                <w:r w:rsidR="00E35C00" w:rsidRPr="00857F0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A02069" w:rsidRPr="004B0695" w14:paraId="18E99B5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0138BDE" w14:textId="1B4BA867" w:rsidR="00A02069" w:rsidRPr="004B0695" w:rsidRDefault="00A02069" w:rsidP="00723856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Other contacts</w:t>
            </w:r>
            <w:r w:rsidRPr="004B0695">
              <w:rPr>
                <w:rFonts w:asciiTheme="minorHAnsi" w:hAnsiTheme="minorHAnsi"/>
                <w:szCs w:val="22"/>
              </w:rPr>
              <w:tab/>
            </w:r>
            <w:r w:rsidRPr="004B0695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4B0695" w14:paraId="51CF7E30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839D5" w14:textId="11A01584" w:rsidR="00DC3206" w:rsidRPr="004B0695" w:rsidRDefault="00DC3206" w:rsidP="002B4235">
            <w:pPr>
              <w:rPr>
                <w:rFonts w:asciiTheme="minorHAnsi" w:hAnsiTheme="minorHAnsi" w:cs="Tahoma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Internal</w:t>
            </w:r>
            <w:r w:rsidRPr="004B0695">
              <w:rPr>
                <w:rFonts w:asciiTheme="minorHAnsi" w:hAnsiTheme="minorHAnsi"/>
                <w:szCs w:val="22"/>
              </w:rPr>
              <w:t>:</w:t>
            </w:r>
            <w:r w:rsidR="00EA27AB" w:rsidRPr="004B0695">
              <w:rPr>
                <w:rFonts w:asciiTheme="minorHAnsi" w:hAnsiTheme="minorHAnsi"/>
                <w:szCs w:val="22"/>
              </w:rPr>
              <w:t xml:space="preserve"> </w:t>
            </w:r>
            <w:r w:rsidR="001D20AB" w:rsidRPr="004B0695">
              <w:rPr>
                <w:rFonts w:asciiTheme="minorHAnsi" w:hAnsiTheme="minorHAnsi"/>
                <w:szCs w:val="22"/>
              </w:rPr>
              <w:t xml:space="preserve">Members of staff from </w:t>
            </w:r>
            <w:r w:rsidR="00CE5682" w:rsidRPr="004B0695">
              <w:rPr>
                <w:rFonts w:asciiTheme="minorHAnsi" w:hAnsiTheme="minorHAnsi"/>
                <w:szCs w:val="22"/>
              </w:rPr>
              <w:t>International Observatory on End of Life Care</w:t>
            </w:r>
            <w:r w:rsidR="001D20AB" w:rsidRPr="004B0695">
              <w:rPr>
                <w:rFonts w:asciiTheme="minorHAnsi" w:hAnsiTheme="minorHAnsi"/>
                <w:szCs w:val="22"/>
              </w:rPr>
              <w:t>, Division of Health Research, Faculty and University.</w:t>
            </w:r>
          </w:p>
        </w:tc>
      </w:tr>
      <w:tr w:rsidR="00DC3206" w:rsidRPr="004B0695" w14:paraId="11AAF972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028E12A" w14:textId="77777777" w:rsidR="00DC3206" w:rsidRPr="004B0695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4B0695">
              <w:rPr>
                <w:rFonts w:asciiTheme="minorHAnsi" w:hAnsiTheme="minorHAnsi"/>
                <w:b/>
                <w:szCs w:val="22"/>
              </w:rPr>
              <w:t>External:</w:t>
            </w:r>
            <w:r w:rsidRPr="004B0695">
              <w:rPr>
                <w:rFonts w:asciiTheme="minorHAnsi" w:hAnsi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5B52C70C" w14:textId="3FD2BC4A" w:rsidR="00DC3206" w:rsidRPr="004B0695" w:rsidRDefault="00F03F64" w:rsidP="002B4235">
                <w:pPr>
                  <w:rPr>
                    <w:rFonts w:asciiTheme="minorHAnsi" w:hAnsiTheme="minorHAnsi"/>
                    <w:szCs w:val="22"/>
                  </w:rPr>
                </w:pPr>
                <w:r>
                  <w:rPr>
                    <w:rFonts w:asciiTheme="minorHAnsi" w:hAnsiTheme="minorHAnsi"/>
                    <w:szCs w:val="22"/>
                  </w:rPr>
                  <w:t xml:space="preserve">Colleagues and stakeholders for the NIHR funded Palliative and End of Life Care Policy Research Unit at King’s College, London, Hull/York Medical </w:t>
                </w:r>
                <w:r w:rsidR="004751D6">
                  <w:rPr>
                    <w:rFonts w:asciiTheme="minorHAnsi" w:hAnsiTheme="minorHAnsi"/>
                    <w:szCs w:val="22"/>
                  </w:rPr>
                  <w:t>School,</w:t>
                </w:r>
                <w:r>
                  <w:rPr>
                    <w:rFonts w:asciiTheme="minorHAnsi" w:hAnsiTheme="minorHAnsi"/>
                    <w:szCs w:val="22"/>
                  </w:rPr>
                  <w:t xml:space="preserve"> and other partners. </w:t>
                </w:r>
                <w:r w:rsidR="00822C73" w:rsidRPr="004B0695">
                  <w:rPr>
                    <w:rFonts w:asciiTheme="minorHAnsi" w:hAnsiTheme="minorHAnsi"/>
                    <w:szCs w:val="22"/>
                  </w:rPr>
                  <w:t xml:space="preserve">Senior </w:t>
                </w:r>
                <w:r w:rsidR="000115E4" w:rsidRPr="004B0695">
                  <w:rPr>
                    <w:rFonts w:asciiTheme="minorHAnsi" w:hAnsiTheme="minorHAnsi"/>
                    <w:szCs w:val="22"/>
                  </w:rPr>
                  <w:t>academics and clinicians at other Universities</w:t>
                </w:r>
                <w:r w:rsidR="00CE5682" w:rsidRPr="004B0695">
                  <w:rPr>
                    <w:rFonts w:asciiTheme="minorHAnsi" w:hAnsiTheme="minorHAnsi"/>
                    <w:szCs w:val="22"/>
                  </w:rPr>
                  <w:t xml:space="preserve"> and partner </w:t>
                </w:r>
                <w:proofErr w:type="spellStart"/>
                <w:r w:rsidR="00CE5682" w:rsidRPr="004B0695">
                  <w:rPr>
                    <w:rFonts w:asciiTheme="minorHAnsi" w:hAnsiTheme="minorHAnsi"/>
                    <w:szCs w:val="22"/>
                  </w:rPr>
                  <w:t>organisations</w:t>
                </w:r>
                <w:proofErr w:type="spellEnd"/>
                <w:r w:rsidR="00CE5682" w:rsidRPr="004B0695">
                  <w:rPr>
                    <w:rFonts w:asciiTheme="minorHAnsi" w:hAnsiTheme="minorHAnsi"/>
                    <w:szCs w:val="22"/>
                  </w:rPr>
                  <w:t>.</w:t>
                </w:r>
                <w:r w:rsidR="000115E4" w:rsidRPr="004B0695">
                  <w:rPr>
                    <w:rFonts w:asciiTheme="minorHAnsi" w:hAnsiTheme="minorHAnsi"/>
                    <w:szCs w:val="22"/>
                  </w:rPr>
                  <w:t xml:space="preserve"> </w:t>
                </w:r>
                <w:r w:rsidR="00CE5682" w:rsidRPr="004B0695">
                  <w:rPr>
                    <w:rFonts w:asciiTheme="minorHAnsi" w:hAnsiTheme="minorHAnsi"/>
                    <w:szCs w:val="22"/>
                  </w:rPr>
                  <w:t xml:space="preserve">Staff, residents and family members in </w:t>
                </w:r>
                <w:r w:rsidR="002B4235">
                  <w:rPr>
                    <w:rFonts w:asciiTheme="minorHAnsi" w:hAnsiTheme="minorHAnsi"/>
                    <w:szCs w:val="22"/>
                  </w:rPr>
                  <w:t>health care facilities</w:t>
                </w:r>
                <w:r w:rsidR="00CE5682" w:rsidRPr="004B0695">
                  <w:rPr>
                    <w:rFonts w:asciiTheme="minorHAnsi" w:hAnsiTheme="minorHAnsi"/>
                    <w:szCs w:val="22"/>
                  </w:rPr>
                  <w:t>.</w:t>
                </w:r>
                <w:r w:rsidR="00BB7989">
                  <w:rPr>
                    <w:rFonts w:asciiTheme="minorHAnsi" w:hAnsiTheme="minorHAnsi"/>
                    <w:szCs w:val="22"/>
                  </w:rPr>
                  <w:t xml:space="preserve"> Public Involvement volunteers.</w:t>
                </w:r>
                <w:r w:rsidR="000115E4" w:rsidRPr="004B0695">
                  <w:rPr>
                    <w:rFonts w:asciiTheme="minorHAnsi" w:hAnsiTheme="minorHAnsi"/>
                    <w:szCs w:val="22"/>
                  </w:rPr>
                  <w:t xml:space="preserve"> </w:t>
                </w:r>
              </w:p>
            </w:sdtContent>
          </w:sdt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5D56A9" w:rsidRPr="004B0695" w14:paraId="0FB179D9" w14:textId="77777777" w:rsidTr="003D777F">
        <w:tc>
          <w:tcPr>
            <w:tcW w:w="10685" w:type="dxa"/>
          </w:tcPr>
          <w:p w14:paraId="673034F9" w14:textId="77777777" w:rsidR="005D56A9" w:rsidRDefault="005D56A9" w:rsidP="00D8674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D4EFC">
              <w:rPr>
                <w:rFonts w:asciiTheme="minorHAnsi" w:hAnsiTheme="minorHAnsi"/>
                <w:b/>
                <w:bCs/>
                <w:sz w:val="22"/>
                <w:szCs w:val="22"/>
              </w:rPr>
              <w:t>Major Duties:</w:t>
            </w:r>
          </w:p>
          <w:p w14:paraId="0BF39B6A" w14:textId="695DE8E4" w:rsidR="00F03F64" w:rsidRPr="004276A4" w:rsidRDefault="004276A4" w:rsidP="00D8674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276A4">
              <w:rPr>
                <w:rFonts w:asciiTheme="minorHAnsi" w:hAnsiTheme="minorHAnsi"/>
                <w:sz w:val="22"/>
                <w:szCs w:val="22"/>
              </w:rPr>
              <w:t xml:space="preserve">These duties will all be undertaken with appropriate support and supervision from senior members of the team. </w:t>
            </w:r>
          </w:p>
          <w:p w14:paraId="52E8D078" w14:textId="38FF9C8E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>Support</w:t>
            </w:r>
            <w:r w:rsidR="004276A4">
              <w:rPr>
                <w:rFonts w:asciiTheme="minorHAnsi" w:hAnsiTheme="minorHAnsi" w:cs="Verdana"/>
                <w:bCs/>
                <w:szCs w:val="22"/>
              </w:rPr>
              <w:t>, with supervision,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the research</w:t>
            </w:r>
            <w:r w:rsidR="00F03F64">
              <w:rPr>
                <w:rFonts w:asciiTheme="minorHAnsi" w:hAnsiTheme="minorHAnsi" w:cs="Verdana"/>
                <w:bCs/>
                <w:szCs w:val="22"/>
              </w:rPr>
              <w:t xml:space="preserve">, dissemination and engagement 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activities </w:t>
            </w:r>
            <w:r w:rsidR="00F03F64">
              <w:rPr>
                <w:rFonts w:asciiTheme="minorHAnsi" w:hAnsiTheme="minorHAnsi" w:cs="Verdana"/>
                <w:bCs/>
                <w:szCs w:val="22"/>
              </w:rPr>
              <w:t xml:space="preserve">associated with the work of the NIHR Palliative and End of Life Care Policy Research Unit (PRU). </w:t>
            </w:r>
          </w:p>
          <w:p w14:paraId="2D5B13EC" w14:textId="29864664" w:rsidR="00F03F64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</w:t>
            </w:r>
            <w:r w:rsidR="00F03F64">
              <w:rPr>
                <w:rFonts w:asciiTheme="minorHAnsi" w:hAnsiTheme="minorHAnsi" w:cs="Verdana"/>
                <w:bCs/>
                <w:szCs w:val="22"/>
              </w:rPr>
              <w:t xml:space="preserve">the PRU to </w:t>
            </w:r>
            <w:r w:rsidR="004276A4">
              <w:rPr>
                <w:rFonts w:asciiTheme="minorHAnsi" w:hAnsiTheme="minorHAnsi" w:cs="Verdana"/>
                <w:bCs/>
                <w:szCs w:val="22"/>
              </w:rPr>
              <w:t xml:space="preserve">work under supervision to attend </w:t>
            </w:r>
            <w:r w:rsidR="00F03F64">
              <w:rPr>
                <w:rFonts w:asciiTheme="minorHAnsi" w:hAnsiTheme="minorHAnsi" w:cs="Verdana"/>
                <w:bCs/>
                <w:szCs w:val="22"/>
              </w:rPr>
              <w:t xml:space="preserve">flexibly and appropriately to requests to provide policy relevant evidence and recommendations to policymakers, providers and other PRU stakeholders. </w:t>
            </w:r>
          </w:p>
          <w:p w14:paraId="01B886B9" w14:textId="1B48C39E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appropriately alongside a range of PRU members and stakeholders to support a range of policy related work. </w:t>
            </w:r>
          </w:p>
          <w:p w14:paraId="012D21FD" w14:textId="3ECF421F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Support the work of patients, family carers and the public engaged in informing and supporting the work of the PRU. </w:t>
            </w:r>
          </w:p>
          <w:p w14:paraId="1DABF5BF" w14:textId="456789F1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Contribute to the delivery of a core programme of high-quality policy relevant research across the PRU with a focus on the use of qualitative research approaches. </w:t>
            </w:r>
          </w:p>
          <w:p w14:paraId="134F6A42" w14:textId="34AF578B" w:rsidR="00F03F64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a team contributing to the rapid response PRU facility, pivoting to new work strands rapidly and effectively. </w:t>
            </w:r>
          </w:p>
          <w:p w14:paraId="7AA61007" w14:textId="3C47A0DD" w:rsidR="002B4235" w:rsidRDefault="00F03F64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Contribute to the preparation of </w:t>
            </w:r>
            <w:r w:rsidR="002B4235">
              <w:rPr>
                <w:rFonts w:asciiTheme="minorHAnsi" w:hAnsiTheme="minorHAnsi" w:cs="Verdana"/>
                <w:bCs/>
                <w:szCs w:val="22"/>
              </w:rPr>
              <w:t xml:space="preserve">grant applications to UK and international research funders, focused on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>extending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the </w:t>
            </w:r>
            <w:r w:rsidR="002B4235">
              <w:rPr>
                <w:rFonts w:asciiTheme="minorHAnsi" w:hAnsiTheme="minorHAnsi" w:cs="Verdana"/>
                <w:bCs/>
                <w:szCs w:val="22"/>
              </w:rPr>
              <w:t xml:space="preserve">work of </w:t>
            </w:r>
            <w:r>
              <w:rPr>
                <w:rFonts w:asciiTheme="minorHAnsi" w:hAnsiTheme="minorHAnsi" w:cs="Verdana"/>
                <w:bCs/>
                <w:szCs w:val="22"/>
              </w:rPr>
              <w:t>the PRU</w:t>
            </w:r>
            <w:r w:rsidR="002B4235">
              <w:rPr>
                <w:rFonts w:asciiTheme="minorHAnsi" w:hAnsiTheme="minorHAnsi" w:cs="Verdana"/>
                <w:bCs/>
                <w:szCs w:val="22"/>
              </w:rPr>
              <w:t xml:space="preserve">. </w:t>
            </w:r>
          </w:p>
          <w:p w14:paraId="30DD2379" w14:textId="57B422FA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a team to prepare and submit all required regulatory and ethics documents for research conducted within the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>PRU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portfolio. </w:t>
            </w:r>
          </w:p>
          <w:p w14:paraId="14008841" w14:textId="73BC8862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Work as part of a team to assist, where required, in the collection and analysis of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 xml:space="preserve">qualitative 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research data 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>in topics related to the work of the PRU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. This may include both empirical data collection, but also systematically constructed research reviews. </w:t>
            </w:r>
          </w:p>
          <w:p w14:paraId="6062E814" w14:textId="4EB2F45D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Draft publications and reports for peer reviewed journals and funders. </w:t>
            </w:r>
          </w:p>
          <w:p w14:paraId="425582E7" w14:textId="14F01D1E" w:rsidR="002B4235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>Assist in the dissemination of research</w:t>
            </w:r>
            <w:r w:rsidR="004751D6">
              <w:rPr>
                <w:rFonts w:asciiTheme="minorHAnsi" w:hAnsiTheme="minorHAnsi" w:cs="Verdana"/>
                <w:bCs/>
                <w:szCs w:val="22"/>
              </w:rPr>
              <w:t xml:space="preserve"> and the PRU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through promoting research, attending appropriate conferences, and the use of social media. </w:t>
            </w:r>
          </w:p>
          <w:p w14:paraId="05BEF048" w14:textId="77777777" w:rsidR="00022C98" w:rsidRDefault="002B4235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>Assist in the development and monitoring of impact for past, current and planned research.</w:t>
            </w:r>
          </w:p>
          <w:p w14:paraId="1D774F13" w14:textId="086DA2B2" w:rsidR="002B4235" w:rsidRPr="002B4235" w:rsidRDefault="00022C98" w:rsidP="00723856">
            <w:pPr>
              <w:pStyle w:val="ListParagraph"/>
              <w:numPr>
                <w:ilvl w:val="0"/>
                <w:numId w:val="8"/>
              </w:numPr>
              <w:autoSpaceDE w:val="0"/>
              <w:rPr>
                <w:rFonts w:asciiTheme="minorHAnsi" w:hAnsiTheme="minorHAnsi" w:cs="Verdana"/>
                <w:bCs/>
                <w:szCs w:val="22"/>
              </w:rPr>
            </w:pPr>
            <w:r>
              <w:rPr>
                <w:rFonts w:asciiTheme="minorHAnsi" w:hAnsiTheme="minorHAnsi" w:cs="Verdana"/>
                <w:bCs/>
                <w:szCs w:val="22"/>
              </w:rPr>
              <w:t xml:space="preserve">Undertake any other duties appropriate to grade as </w:t>
            </w:r>
            <w:r w:rsidR="00784993">
              <w:rPr>
                <w:rFonts w:asciiTheme="minorHAnsi" w:hAnsiTheme="minorHAnsi" w:cs="Verdana"/>
                <w:bCs/>
                <w:szCs w:val="22"/>
              </w:rPr>
              <w:t>required</w:t>
            </w:r>
            <w:r>
              <w:rPr>
                <w:rFonts w:asciiTheme="minorHAnsi" w:hAnsiTheme="minorHAnsi" w:cs="Verdana"/>
                <w:bCs/>
                <w:szCs w:val="22"/>
              </w:rPr>
              <w:t xml:space="preserve"> by Head of Division or nominated representative.</w:t>
            </w:r>
            <w:r w:rsidR="002B4235">
              <w:rPr>
                <w:rFonts w:asciiTheme="minorHAnsi" w:hAnsiTheme="minorHAnsi" w:cs="Verdana"/>
                <w:bCs/>
                <w:szCs w:val="22"/>
              </w:rPr>
              <w:t xml:space="preserve"> </w:t>
            </w:r>
          </w:p>
          <w:p w14:paraId="14760BDB" w14:textId="45255B1E" w:rsidR="005D56A9" w:rsidRPr="002B4235" w:rsidRDefault="005D56A9" w:rsidP="002B4235">
            <w:pPr>
              <w:autoSpaceDE w:val="0"/>
              <w:spacing w:after="257"/>
              <w:rPr>
                <w:rFonts w:asciiTheme="minorHAnsi" w:hAnsiTheme="minorHAnsi"/>
                <w:bCs/>
                <w:szCs w:val="22"/>
              </w:rPr>
            </w:pPr>
          </w:p>
        </w:tc>
      </w:tr>
    </w:tbl>
    <w:p w14:paraId="269C3088" w14:textId="77777777" w:rsidR="00EB2BEA" w:rsidRPr="004B0695" w:rsidRDefault="00EB2BEA" w:rsidP="00974194">
      <w:pPr>
        <w:pStyle w:val="Default"/>
        <w:rPr>
          <w:rFonts w:asciiTheme="minorHAnsi" w:hAnsiTheme="minorHAnsi"/>
          <w:sz w:val="22"/>
          <w:szCs w:val="22"/>
        </w:rPr>
      </w:pPr>
    </w:p>
    <w:sectPr w:rsidR="00EB2BEA" w:rsidRPr="004B0695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B69"/>
    <w:multiLevelType w:val="hybridMultilevel"/>
    <w:tmpl w:val="8E38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03C3"/>
    <w:multiLevelType w:val="hybridMultilevel"/>
    <w:tmpl w:val="F0D26C38"/>
    <w:lvl w:ilvl="0" w:tplc="C8367E6E">
      <w:numFmt w:val="bullet"/>
      <w:lvlText w:val="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47A96"/>
    <w:multiLevelType w:val="hybridMultilevel"/>
    <w:tmpl w:val="37E840F6"/>
    <w:lvl w:ilvl="0" w:tplc="C8367E6E">
      <w:numFmt w:val="bullet"/>
      <w:lvlText w:val="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BD671C"/>
    <w:multiLevelType w:val="hybridMultilevel"/>
    <w:tmpl w:val="02E2D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1331C"/>
    <w:multiLevelType w:val="hybridMultilevel"/>
    <w:tmpl w:val="B7B4ECC8"/>
    <w:lvl w:ilvl="0" w:tplc="C8367E6E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A3DD9"/>
    <w:multiLevelType w:val="hybridMultilevel"/>
    <w:tmpl w:val="B9CC67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9201BE"/>
    <w:multiLevelType w:val="hybridMultilevel"/>
    <w:tmpl w:val="2FA2B2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81716">
    <w:abstractNumId w:val="4"/>
  </w:num>
  <w:num w:numId="2" w16cid:durableId="994993289">
    <w:abstractNumId w:val="3"/>
  </w:num>
  <w:num w:numId="3" w16cid:durableId="1664822380">
    <w:abstractNumId w:val="0"/>
  </w:num>
  <w:num w:numId="4" w16cid:durableId="1398477069">
    <w:abstractNumId w:val="5"/>
  </w:num>
  <w:num w:numId="5" w16cid:durableId="536087672">
    <w:abstractNumId w:val="2"/>
  </w:num>
  <w:num w:numId="6" w16cid:durableId="1765110625">
    <w:abstractNumId w:val="1"/>
  </w:num>
  <w:num w:numId="7" w16cid:durableId="440146795">
    <w:abstractNumId w:val="6"/>
  </w:num>
  <w:num w:numId="8" w16cid:durableId="459417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15E4"/>
    <w:rsid w:val="00022C98"/>
    <w:rsid w:val="00072D18"/>
    <w:rsid w:val="000B092B"/>
    <w:rsid w:val="000D364C"/>
    <w:rsid w:val="000E4CAA"/>
    <w:rsid w:val="000F3624"/>
    <w:rsid w:val="000F6CE1"/>
    <w:rsid w:val="00141659"/>
    <w:rsid w:val="0017132A"/>
    <w:rsid w:val="00197467"/>
    <w:rsid w:val="001C2876"/>
    <w:rsid w:val="001D20AB"/>
    <w:rsid w:val="00210BF3"/>
    <w:rsid w:val="00235264"/>
    <w:rsid w:val="002865AE"/>
    <w:rsid w:val="002875F0"/>
    <w:rsid w:val="002B4235"/>
    <w:rsid w:val="002E69BC"/>
    <w:rsid w:val="003067D8"/>
    <w:rsid w:val="003259EF"/>
    <w:rsid w:val="003736EE"/>
    <w:rsid w:val="00383C2E"/>
    <w:rsid w:val="003C3D90"/>
    <w:rsid w:val="003C6934"/>
    <w:rsid w:val="003D777F"/>
    <w:rsid w:val="003E13C5"/>
    <w:rsid w:val="004276A4"/>
    <w:rsid w:val="00447F5A"/>
    <w:rsid w:val="004751D6"/>
    <w:rsid w:val="00484733"/>
    <w:rsid w:val="00493144"/>
    <w:rsid w:val="004B0695"/>
    <w:rsid w:val="004F3D2B"/>
    <w:rsid w:val="00514366"/>
    <w:rsid w:val="00521F4D"/>
    <w:rsid w:val="00557B5B"/>
    <w:rsid w:val="005A3D77"/>
    <w:rsid w:val="005D56A9"/>
    <w:rsid w:val="0061766A"/>
    <w:rsid w:val="00623F2C"/>
    <w:rsid w:val="006404BD"/>
    <w:rsid w:val="006760E2"/>
    <w:rsid w:val="006F4072"/>
    <w:rsid w:val="00723856"/>
    <w:rsid w:val="00737AA6"/>
    <w:rsid w:val="00784993"/>
    <w:rsid w:val="007A2DA0"/>
    <w:rsid w:val="007A33B4"/>
    <w:rsid w:val="007A637C"/>
    <w:rsid w:val="007C2AF2"/>
    <w:rsid w:val="00822C73"/>
    <w:rsid w:val="00823320"/>
    <w:rsid w:val="00857F0A"/>
    <w:rsid w:val="0086133B"/>
    <w:rsid w:val="0086775E"/>
    <w:rsid w:val="00882FF0"/>
    <w:rsid w:val="008A4C68"/>
    <w:rsid w:val="008F1BAF"/>
    <w:rsid w:val="00945D38"/>
    <w:rsid w:val="0096324D"/>
    <w:rsid w:val="009668EF"/>
    <w:rsid w:val="00974194"/>
    <w:rsid w:val="0097556E"/>
    <w:rsid w:val="0097729E"/>
    <w:rsid w:val="009B6994"/>
    <w:rsid w:val="009C2550"/>
    <w:rsid w:val="00A02069"/>
    <w:rsid w:val="00A03F55"/>
    <w:rsid w:val="00A05EF9"/>
    <w:rsid w:val="00A374EA"/>
    <w:rsid w:val="00A72E48"/>
    <w:rsid w:val="00A80395"/>
    <w:rsid w:val="00AD4EFC"/>
    <w:rsid w:val="00AF238A"/>
    <w:rsid w:val="00B17620"/>
    <w:rsid w:val="00B52072"/>
    <w:rsid w:val="00BB7989"/>
    <w:rsid w:val="00BC2F04"/>
    <w:rsid w:val="00C221F0"/>
    <w:rsid w:val="00C360BE"/>
    <w:rsid w:val="00CE5682"/>
    <w:rsid w:val="00CF715E"/>
    <w:rsid w:val="00D40209"/>
    <w:rsid w:val="00D768F4"/>
    <w:rsid w:val="00D7712F"/>
    <w:rsid w:val="00D840AF"/>
    <w:rsid w:val="00D8674F"/>
    <w:rsid w:val="00DB696E"/>
    <w:rsid w:val="00DC3206"/>
    <w:rsid w:val="00DC7119"/>
    <w:rsid w:val="00DD3DD2"/>
    <w:rsid w:val="00DF1ACB"/>
    <w:rsid w:val="00DF6A03"/>
    <w:rsid w:val="00E02E5D"/>
    <w:rsid w:val="00E22100"/>
    <w:rsid w:val="00E35C00"/>
    <w:rsid w:val="00EA27AB"/>
    <w:rsid w:val="00EB2BEA"/>
    <w:rsid w:val="00EC25C5"/>
    <w:rsid w:val="00EC65BC"/>
    <w:rsid w:val="00F03F64"/>
    <w:rsid w:val="00F26228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4420F"/>
  <w15:docId w15:val="{988963D5-B56A-43AE-B342-B040A3B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character" w:styleId="CommentReference">
    <w:name w:val="annotation reference"/>
    <w:basedOn w:val="DefaultParagraphFont"/>
    <w:rsid w:val="00822C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C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2C7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82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2C73"/>
    <w:rPr>
      <w:b/>
      <w:bCs/>
      <w:lang w:val="en-US"/>
    </w:rPr>
  </w:style>
  <w:style w:type="paragraph" w:customStyle="1" w:styleId="Default">
    <w:name w:val="Default"/>
    <w:rsid w:val="00D8674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D67B4"/>
    <w:rsid w:val="00111843"/>
    <w:rsid w:val="001B3FA8"/>
    <w:rsid w:val="002200D3"/>
    <w:rsid w:val="002A4DE1"/>
    <w:rsid w:val="00382D74"/>
    <w:rsid w:val="0045595B"/>
    <w:rsid w:val="00493144"/>
    <w:rsid w:val="004C4CC5"/>
    <w:rsid w:val="005D39B6"/>
    <w:rsid w:val="005D67F4"/>
    <w:rsid w:val="00851919"/>
    <w:rsid w:val="008C0375"/>
    <w:rsid w:val="00AE4E6F"/>
    <w:rsid w:val="00C00C70"/>
    <w:rsid w:val="00D72F31"/>
    <w:rsid w:val="00D86F8D"/>
    <w:rsid w:val="00FA4875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Edwards, Sarah</cp:lastModifiedBy>
  <cp:revision>5</cp:revision>
  <dcterms:created xsi:type="dcterms:W3CDTF">2025-06-02T12:04:00Z</dcterms:created>
  <dcterms:modified xsi:type="dcterms:W3CDTF">2025-06-02T12:06:00Z</dcterms:modified>
</cp:coreProperties>
</file>